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B36CD" w:rsidRDefault="00000000">
      <w:pPr>
        <w:ind w:right="458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Table S2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5B36CD" w:rsidRDefault="00000000">
      <w:pPr>
        <w:ind w:right="458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Inhibitory effects of siPnn respect to siCtrl on SW620 cells growth with different OHP and 5-FU concentration after 72hs</w:t>
      </w:r>
    </w:p>
    <w:tbl>
      <w:tblPr>
        <w:tblW w:w="439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559"/>
        <w:gridCol w:w="1560"/>
      </w:tblGrid>
      <w:tr w:rsidR="005B36CD">
        <w:trPr>
          <w:trHeight w:val="300"/>
          <w:jc w:val="center"/>
        </w:trPr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bookmarkStart w:id="0" w:name="_Hlk215815088"/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>Group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siCtrl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siPnn</w:t>
            </w:r>
          </w:p>
        </w:tc>
      </w:tr>
      <w:tr w:rsidR="005B36CD">
        <w:trPr>
          <w:trHeight w:val="300"/>
          <w:jc w:val="center"/>
        </w:trPr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5B3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Mean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Mean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</w:p>
        </w:tc>
      </w:tr>
      <w:tr w:rsidR="005B36CD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Ctrl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100.00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79.46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5.33*</w:t>
            </w:r>
          </w:p>
        </w:tc>
      </w:tr>
      <w:tr w:rsidR="005B36CD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OHP 0.2µM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64.69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3.29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44.93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3.15*</w:t>
            </w:r>
          </w:p>
        </w:tc>
      </w:tr>
      <w:tr w:rsidR="005B36CD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OHP 1µM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53.02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3.72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36.24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1.81*</w:t>
            </w:r>
          </w:p>
        </w:tc>
      </w:tr>
      <w:tr w:rsidR="005B36CD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OHP 4µM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45.63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31.21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2.14*</w:t>
            </w:r>
          </w:p>
        </w:tc>
      </w:tr>
      <w:tr w:rsidR="005B36CD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Ctrl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100.00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7.03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83.67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7.51*</w:t>
            </w:r>
          </w:p>
        </w:tc>
      </w:tr>
      <w:tr w:rsidR="005B36CD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5-FU 1µM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76.15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6.78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59.43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7.65*</w:t>
            </w:r>
          </w:p>
        </w:tc>
      </w:tr>
      <w:tr w:rsidR="005B36CD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5-FU 5µM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68.44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54.65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2.47*</w:t>
            </w:r>
          </w:p>
        </w:tc>
      </w:tr>
      <w:tr w:rsidR="005B36CD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5-FU 22µM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57.27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45.46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1.31*</w:t>
            </w:r>
          </w:p>
        </w:tc>
      </w:tr>
    </w:tbl>
    <w:bookmarkEnd w:id="0"/>
    <w:p w:rsidR="007422E8" w:rsidRDefault="007422E8" w:rsidP="007422E8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Data are expressed as percentage of the corresponding untreated control and reported as mean ± SE from at least three independent experiments. Statistical analyses were performed using two-way ANOVA, considering shRNA-Pnn silencing status and drug concentration as independent variables, followed by Tukey’s multiple comparisons post-hoc test. Significant differences were assessed between corresponding control and shRNA-Pnn groups at each OHP or 5-FU concentration. *p &lt; 0.05 was considered statistically significant.</w:t>
      </w:r>
    </w:p>
    <w:p w:rsidR="005B36CD" w:rsidRDefault="005B36CD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5B36CD" w:rsidRDefault="005B36CD">
      <w:pPr>
        <w:ind w:right="458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5B36CD" w:rsidRDefault="00000000">
      <w:pPr>
        <w:ind w:right="458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Table S</w:t>
      </w:r>
      <w:r>
        <w:rPr>
          <w:rFonts w:ascii="Times New Roman" w:hAnsi="Times New Roman" w:cs="Times New Roman" w:hint="eastAsia"/>
          <w:b/>
          <w:sz w:val="20"/>
          <w:szCs w:val="20"/>
          <w:lang w:val="en-US" w:eastAsia="zh-CN"/>
        </w:rPr>
        <w:t>3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5B36CD" w:rsidRDefault="00000000">
      <w:pPr>
        <w:ind w:right="458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Inhibitory effects of stable SW620 shRNA-Pnn respect to shRNA-C cells line on growth with different OHP and 5-FU concentration after 72hs</w:t>
      </w:r>
    </w:p>
    <w:p w:rsidR="005B36CD" w:rsidRDefault="005B36CD">
      <w:pPr>
        <w:ind w:right="458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68"/>
        <w:gridCol w:w="1609"/>
        <w:gridCol w:w="1985"/>
      </w:tblGrid>
      <w:tr w:rsidR="005B36CD">
        <w:trPr>
          <w:trHeight w:val="315"/>
          <w:jc w:val="center"/>
        </w:trPr>
        <w:tc>
          <w:tcPr>
            <w:tcW w:w="1368" w:type="dxa"/>
            <w:vMerge w:val="restart"/>
            <w:tcBorders>
              <w:top w:val="nil"/>
              <w:left w:val="nil"/>
            </w:tcBorders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>Group</w:t>
            </w:r>
          </w:p>
        </w:tc>
        <w:tc>
          <w:tcPr>
            <w:tcW w:w="1609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shRNA-C</w:t>
            </w:r>
          </w:p>
        </w:tc>
        <w:tc>
          <w:tcPr>
            <w:tcW w:w="1985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shRNA-Pnn</w:t>
            </w:r>
          </w:p>
        </w:tc>
      </w:tr>
      <w:tr w:rsidR="005B36CD">
        <w:trPr>
          <w:trHeight w:val="315"/>
          <w:jc w:val="center"/>
        </w:trPr>
        <w:tc>
          <w:tcPr>
            <w:tcW w:w="1368" w:type="dxa"/>
            <w:vMerge/>
            <w:tcBorders>
              <w:left w:val="nil"/>
            </w:tcBorders>
            <w:noWrap/>
            <w:vAlign w:val="center"/>
          </w:tcPr>
          <w:p w:rsidR="005B36CD" w:rsidRDefault="005B3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Mean ±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</w:p>
        </w:tc>
        <w:tc>
          <w:tcPr>
            <w:tcW w:w="1985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Mean ±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</w:p>
        </w:tc>
      </w:tr>
      <w:tr w:rsidR="005B36CD">
        <w:trPr>
          <w:trHeight w:val="315"/>
          <w:jc w:val="center"/>
        </w:trPr>
        <w:tc>
          <w:tcPr>
            <w:tcW w:w="1368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Ctrl</w:t>
            </w:r>
          </w:p>
        </w:tc>
        <w:tc>
          <w:tcPr>
            <w:tcW w:w="1609" w:type="dxa"/>
            <w:noWrap/>
            <w:vAlign w:val="center"/>
          </w:tcPr>
          <w:p w:rsidR="005B36CD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100.00 ± 3.13</w:t>
            </w:r>
          </w:p>
        </w:tc>
        <w:tc>
          <w:tcPr>
            <w:tcW w:w="1985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84.69 ± 3.05</w:t>
            </w:r>
          </w:p>
        </w:tc>
      </w:tr>
      <w:tr w:rsidR="005B36CD">
        <w:trPr>
          <w:trHeight w:val="315"/>
          <w:jc w:val="center"/>
        </w:trPr>
        <w:tc>
          <w:tcPr>
            <w:tcW w:w="1368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OHP 0.2µM</w:t>
            </w:r>
          </w:p>
        </w:tc>
        <w:tc>
          <w:tcPr>
            <w:tcW w:w="1609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63.24 ± 1.01</w:t>
            </w:r>
          </w:p>
        </w:tc>
        <w:tc>
          <w:tcPr>
            <w:tcW w:w="1985" w:type="dxa"/>
            <w:noWrap/>
            <w:vAlign w:val="center"/>
          </w:tcPr>
          <w:p w:rsidR="005B36CD" w:rsidRDefault="00000000" w:rsidP="007422E8">
            <w:pPr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45.45 ± 1.07*</w:t>
            </w:r>
          </w:p>
        </w:tc>
      </w:tr>
      <w:tr w:rsidR="005B36CD">
        <w:trPr>
          <w:trHeight w:val="315"/>
          <w:jc w:val="center"/>
        </w:trPr>
        <w:tc>
          <w:tcPr>
            <w:tcW w:w="1368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OHP 1µM</w:t>
            </w:r>
          </w:p>
        </w:tc>
        <w:tc>
          <w:tcPr>
            <w:tcW w:w="1609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53.78 ± 1.23</w:t>
            </w:r>
          </w:p>
        </w:tc>
        <w:tc>
          <w:tcPr>
            <w:tcW w:w="1985" w:type="dxa"/>
            <w:noWrap/>
            <w:vAlign w:val="center"/>
          </w:tcPr>
          <w:p w:rsidR="005B36CD" w:rsidRDefault="00000000" w:rsidP="007422E8">
            <w:pPr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38.37 ± 0.25*</w:t>
            </w:r>
          </w:p>
        </w:tc>
      </w:tr>
      <w:tr w:rsidR="005B36CD">
        <w:trPr>
          <w:trHeight w:val="315"/>
          <w:jc w:val="center"/>
        </w:trPr>
        <w:tc>
          <w:tcPr>
            <w:tcW w:w="1368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OHP 4µM</w:t>
            </w:r>
          </w:p>
        </w:tc>
        <w:tc>
          <w:tcPr>
            <w:tcW w:w="1609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46.69 ± 0.42</w:t>
            </w:r>
          </w:p>
        </w:tc>
        <w:tc>
          <w:tcPr>
            <w:tcW w:w="1985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25.92 ± 1.38*</w:t>
            </w:r>
          </w:p>
        </w:tc>
      </w:tr>
      <w:tr w:rsidR="005B36CD">
        <w:trPr>
          <w:trHeight w:val="315"/>
          <w:jc w:val="center"/>
        </w:trPr>
        <w:tc>
          <w:tcPr>
            <w:tcW w:w="1368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Ctrl</w:t>
            </w:r>
          </w:p>
        </w:tc>
        <w:tc>
          <w:tcPr>
            <w:tcW w:w="1609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100.00 ± 1.01</w:t>
            </w:r>
          </w:p>
        </w:tc>
        <w:tc>
          <w:tcPr>
            <w:tcW w:w="1985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92.94 ± 4.17</w:t>
            </w:r>
          </w:p>
        </w:tc>
      </w:tr>
      <w:tr w:rsidR="005B36CD">
        <w:trPr>
          <w:trHeight w:val="315"/>
          <w:jc w:val="center"/>
        </w:trPr>
        <w:tc>
          <w:tcPr>
            <w:tcW w:w="1368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5-FU 1µM</w:t>
            </w:r>
          </w:p>
        </w:tc>
        <w:tc>
          <w:tcPr>
            <w:tcW w:w="1609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95.63 ± 0.67</w:t>
            </w:r>
          </w:p>
        </w:tc>
        <w:tc>
          <w:tcPr>
            <w:tcW w:w="1985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86.38 ± 2.31*</w:t>
            </w:r>
          </w:p>
        </w:tc>
      </w:tr>
      <w:tr w:rsidR="005B36CD">
        <w:trPr>
          <w:trHeight w:val="315"/>
          <w:jc w:val="center"/>
        </w:trPr>
        <w:tc>
          <w:tcPr>
            <w:tcW w:w="1368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5-FU 5µM</w:t>
            </w:r>
          </w:p>
        </w:tc>
        <w:tc>
          <w:tcPr>
            <w:tcW w:w="1609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65.09 ± 1.27</w:t>
            </w:r>
          </w:p>
        </w:tc>
        <w:tc>
          <w:tcPr>
            <w:tcW w:w="1985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54.92 ± 0.37*</w:t>
            </w:r>
          </w:p>
        </w:tc>
      </w:tr>
      <w:tr w:rsidR="005B36CD">
        <w:trPr>
          <w:trHeight w:val="315"/>
          <w:jc w:val="center"/>
        </w:trPr>
        <w:tc>
          <w:tcPr>
            <w:tcW w:w="1368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5-FU 22µM</w:t>
            </w:r>
          </w:p>
        </w:tc>
        <w:tc>
          <w:tcPr>
            <w:tcW w:w="1609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56.47 ± 0.27</w:t>
            </w:r>
          </w:p>
        </w:tc>
        <w:tc>
          <w:tcPr>
            <w:tcW w:w="1985" w:type="dxa"/>
            <w:noWrap/>
            <w:vAlign w:val="center"/>
          </w:tcPr>
          <w:p w:rsidR="005B36CD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47.02 ± 0.53*</w:t>
            </w:r>
          </w:p>
        </w:tc>
      </w:tr>
    </w:tbl>
    <w:p w:rsidR="007422E8" w:rsidRDefault="007422E8" w:rsidP="007422E8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*p &lt; 0.05 was considered statistically significant.</w:t>
      </w:r>
    </w:p>
    <w:p w:rsidR="005B36CD" w:rsidRDefault="005B36CD">
      <w:pPr>
        <w:rPr>
          <w:rFonts w:ascii="Times New Roman" w:hAnsi="Times New Roman" w:cs="Times New Roman"/>
          <w:sz w:val="20"/>
          <w:szCs w:val="20"/>
        </w:rPr>
      </w:pPr>
    </w:p>
    <w:p w:rsidR="005B36CD" w:rsidRDefault="005B36CD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sectPr w:rsidR="005B36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B2103" w:rsidRDefault="00EB2103">
      <w:pPr>
        <w:spacing w:line="240" w:lineRule="auto"/>
      </w:pPr>
      <w:r>
        <w:separator/>
      </w:r>
    </w:p>
  </w:endnote>
  <w:endnote w:type="continuationSeparator" w:id="0">
    <w:p w:rsidR="00EB2103" w:rsidRDefault="00EB21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altName w:val="Calibri"/>
    <w:charset w:val="00"/>
    <w:family w:val="swiss"/>
    <w:pitch w:val="default"/>
    <w:sig w:usb0="20000287" w:usb1="00000003" w:usb2="00000000" w:usb3="00000000" w:csb0="2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B2103" w:rsidRDefault="00EB2103">
      <w:pPr>
        <w:spacing w:after="0"/>
      </w:pPr>
      <w:r>
        <w:separator/>
      </w:r>
    </w:p>
  </w:footnote>
  <w:footnote w:type="continuationSeparator" w:id="0">
    <w:p w:rsidR="00EB2103" w:rsidRDefault="00EB210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6AB"/>
    <w:rsid w:val="00023F43"/>
    <w:rsid w:val="0009543C"/>
    <w:rsid w:val="00104228"/>
    <w:rsid w:val="00112683"/>
    <w:rsid w:val="001C3684"/>
    <w:rsid w:val="001C674D"/>
    <w:rsid w:val="001E49BF"/>
    <w:rsid w:val="001F0858"/>
    <w:rsid w:val="001F3CB5"/>
    <w:rsid w:val="0021266E"/>
    <w:rsid w:val="00300728"/>
    <w:rsid w:val="00310F25"/>
    <w:rsid w:val="003123CB"/>
    <w:rsid w:val="00325BAF"/>
    <w:rsid w:val="003632F8"/>
    <w:rsid w:val="003718EF"/>
    <w:rsid w:val="00371E9A"/>
    <w:rsid w:val="003A4CE0"/>
    <w:rsid w:val="003B1286"/>
    <w:rsid w:val="003B36A1"/>
    <w:rsid w:val="0043162A"/>
    <w:rsid w:val="004B6142"/>
    <w:rsid w:val="00542D7F"/>
    <w:rsid w:val="005B36CD"/>
    <w:rsid w:val="00621628"/>
    <w:rsid w:val="007422E8"/>
    <w:rsid w:val="00774EA3"/>
    <w:rsid w:val="00784E0E"/>
    <w:rsid w:val="007A72D9"/>
    <w:rsid w:val="007B7FE8"/>
    <w:rsid w:val="007D649C"/>
    <w:rsid w:val="007F0C31"/>
    <w:rsid w:val="008553BE"/>
    <w:rsid w:val="00870587"/>
    <w:rsid w:val="008A2803"/>
    <w:rsid w:val="00913AC2"/>
    <w:rsid w:val="00951DDD"/>
    <w:rsid w:val="009F193A"/>
    <w:rsid w:val="00A14F3C"/>
    <w:rsid w:val="00A351D5"/>
    <w:rsid w:val="00A64DC5"/>
    <w:rsid w:val="00AA677E"/>
    <w:rsid w:val="00B07366"/>
    <w:rsid w:val="00B2136F"/>
    <w:rsid w:val="00B334CC"/>
    <w:rsid w:val="00B4071B"/>
    <w:rsid w:val="00BB6BD9"/>
    <w:rsid w:val="00BF12AF"/>
    <w:rsid w:val="00C077EE"/>
    <w:rsid w:val="00D60B3D"/>
    <w:rsid w:val="00D646AB"/>
    <w:rsid w:val="00D7041B"/>
    <w:rsid w:val="00DE140D"/>
    <w:rsid w:val="00EB2103"/>
    <w:rsid w:val="00EC3EF0"/>
    <w:rsid w:val="00F244AF"/>
    <w:rsid w:val="00F77750"/>
    <w:rsid w:val="00FB5C21"/>
    <w:rsid w:val="3865546A"/>
    <w:rsid w:val="5199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F1828"/>
  <w15:docId w15:val="{35ABF450-E722-4860-BBD8-E031BD5AF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val="it-IT"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qFormat/>
  </w:style>
  <w:style w:type="paragraph" w:styleId="a6">
    <w:name w:val="annotation subject"/>
    <w:basedOn w:val="a4"/>
    <w:next w:val="a4"/>
    <w:link w:val="a7"/>
    <w:uiPriority w:val="99"/>
    <w:semiHidden/>
    <w:unhideWhenUsed/>
    <w:qFormat/>
    <w:rPr>
      <w:b/>
      <w:bCs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ac">
    <w:name w:val="Subtitle"/>
    <w:basedOn w:val="a"/>
    <w:next w:val="a"/>
    <w:link w:val="ad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itle"/>
    <w:basedOn w:val="a"/>
    <w:next w:val="a"/>
    <w:link w:val="af0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f0">
    <w:name w:val="标题 字符"/>
    <w:basedOn w:val="a0"/>
    <w:link w:val="af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副标题 字符"/>
    <w:basedOn w:val="a0"/>
    <w:link w:val="ac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f1">
    <w:name w:val="Quote"/>
    <w:basedOn w:val="a"/>
    <w:next w:val="a"/>
    <w:link w:val="af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qFormat/>
    <w:rPr>
      <w:i/>
      <w:iCs/>
      <w:color w:val="404040" w:themeColor="text1" w:themeTint="BF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Enfasiintensa1">
    <w:name w:val="Enfasi intensa1"/>
    <w:basedOn w:val="a0"/>
    <w:uiPriority w:val="21"/>
    <w:qFormat/>
    <w:rPr>
      <w:i/>
      <w:iCs/>
      <w:color w:val="0F4761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5">
    <w:name w:val="明显引用 字符"/>
    <w:basedOn w:val="a0"/>
    <w:link w:val="af4"/>
    <w:uiPriority w:val="30"/>
    <w:qFormat/>
    <w:rPr>
      <w:i/>
      <w:iCs/>
      <w:color w:val="0F4761" w:themeColor="accent1" w:themeShade="BF"/>
    </w:rPr>
  </w:style>
  <w:style w:type="character" w:customStyle="1" w:styleId="Riferimentointenso1">
    <w:name w:val="Riferimento intenso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b">
    <w:name w:val="页眉 字符"/>
    <w:basedOn w:val="a0"/>
    <w:link w:val="aa"/>
    <w:uiPriority w:val="99"/>
    <w:qFormat/>
  </w:style>
  <w:style w:type="character" w:customStyle="1" w:styleId="a9">
    <w:name w:val="页脚 字符"/>
    <w:basedOn w:val="a0"/>
    <w:link w:val="a8"/>
    <w:uiPriority w:val="99"/>
    <w:qFormat/>
  </w:style>
  <w:style w:type="character" w:customStyle="1" w:styleId="a5">
    <w:name w:val="批注文字 字符"/>
    <w:basedOn w:val="a0"/>
    <w:link w:val="a4"/>
    <w:uiPriority w:val="99"/>
    <w:semiHidden/>
    <w:qFormat/>
  </w:style>
  <w:style w:type="character" w:customStyle="1" w:styleId="a7">
    <w:name w:val="批注主题 字符"/>
    <w:basedOn w:val="a5"/>
    <w:link w:val="a6"/>
    <w:uiPriority w:val="99"/>
    <w:semiHidden/>
    <w:qFormat/>
    <w:rPr>
      <w:b/>
      <w:bCs/>
    </w:rPr>
  </w:style>
  <w:style w:type="paragraph" w:customStyle="1" w:styleId="Revisione1">
    <w:name w:val="Revisione1"/>
    <w:hidden/>
    <w:uiPriority w:val="99"/>
    <w:semiHidden/>
    <w:qFormat/>
    <w:rPr>
      <w:kern w:val="2"/>
      <w:sz w:val="22"/>
      <w:szCs w:val="22"/>
      <w:lang w:val="it-IT" w:eastAsia="en-US"/>
      <w14:ligatures w14:val="standardContextual"/>
    </w:rPr>
  </w:style>
  <w:style w:type="paragraph" w:customStyle="1" w:styleId="11">
    <w:name w:val="修订1"/>
    <w:hidden/>
    <w:uiPriority w:val="99"/>
    <w:unhideWhenUsed/>
    <w:rPr>
      <w:kern w:val="2"/>
      <w:sz w:val="22"/>
      <w:szCs w:val="22"/>
      <w:lang w:val="it-IT" w:eastAsia="en-US"/>
      <w14:ligatures w14:val="standardContextual"/>
    </w:rPr>
  </w:style>
  <w:style w:type="paragraph" w:styleId="af6">
    <w:name w:val="Revision"/>
    <w:hidden/>
    <w:uiPriority w:val="99"/>
    <w:unhideWhenUsed/>
    <w:rsid w:val="007422E8"/>
    <w:rPr>
      <w:kern w:val="2"/>
      <w:sz w:val="22"/>
      <w:szCs w:val="22"/>
      <w:lang w:val="it-IT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Lapucci</dc:creator>
  <cp:lastModifiedBy>Office365</cp:lastModifiedBy>
  <cp:revision>2</cp:revision>
  <cp:lastPrinted>2026-06-03T09:03:00Z</cp:lastPrinted>
  <dcterms:created xsi:type="dcterms:W3CDTF">2026-07-14T06:09:00Z</dcterms:created>
  <dcterms:modified xsi:type="dcterms:W3CDTF">2026-07-14T06:09:00Z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1fc457f8-342f-48ca-baee-00f3f7793d60</vt:lpwstr>
  </property>
  <property fmtid="{D5CDD505-2E9C-101B-9397-08002B2CF9AE}" pid="3" name="KSOProductBuildVer">
    <vt:lpwstr>1033-12.1.0.26880</vt:lpwstr>
  </property>
  <property fmtid="{D5CDD505-2E9C-101B-9397-08002B2CF9AE}" pid="4" name="ICV">
    <vt:lpwstr>906184CF7F9D40AF9AAC9AFBF8613F95_13</vt:lpwstr>
  </property>
  <property fmtid="{D5CDD505-2E9C-101B-9397-08002B2CF9AE}" pid="5" name="KSOTemplateDocerSaveRecord">
    <vt:lpwstr>eyJoZGlkIjoiMWIxOWY5NjA2OGNlNjNmNGM0OGEyMzcyNDYwMmIzMTYiLCJ1c2VySWQiOiIxMzc0NDEyNzUyODEifQ==</vt:lpwstr>
  </property>
</Properties>
</file>